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after="255" w:line="300" w:lineRule="atLeast"/>
        <w:outlineLvl w:val="1"/>
        <w:rPr>
          <w:rFonts w:ascii="Times New Roman" w:hAnsi="Times New Roman" w:eastAsia="Times New Roman" w:cs="Times New Roman"/>
          <w:b/>
          <w:bCs/>
          <w:color w:val="4D4D4D"/>
          <w:sz w:val="27"/>
          <w:szCs w:val="27"/>
          <w:lang w:eastAsia="ru-RU"/>
        </w:rPr>
      </w:pPr>
      <w:bookmarkStart w:id="2" w:name="_GoBack"/>
      <w:bookmarkEnd w:id="2"/>
      <w:r>
        <w:rPr>
          <w:rFonts w:ascii="Times New Roman" w:hAnsi="Times New Roman" w:eastAsia="Times New Roman" w:cs="Times New Roman"/>
          <w:b/>
          <w:bCs/>
          <w:color w:val="4D4D4D"/>
          <w:sz w:val="27"/>
          <w:szCs w:val="27"/>
          <w:lang w:eastAsia="ru-RU"/>
        </w:rPr>
        <w:br w:type="textWrapping"/>
      </w:r>
      <w:r>
        <w:rPr>
          <w:rFonts w:ascii="Times New Roman" w:hAnsi="Times New Roman" w:eastAsia="Times New Roman" w:cs="Times New Roman"/>
          <w:b/>
          <w:bCs/>
          <w:color w:val="4D4D4D"/>
          <w:sz w:val="27"/>
          <w:szCs w:val="27"/>
          <w:lang w:eastAsia="ru-RU"/>
        </w:rPr>
        <w:t>Постановление Правительства РФ от 24 декабря 2021 г. № 2451 “О внесении изменений в некоторые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 сырья и продовольствия”</w:t>
      </w:r>
    </w:p>
    <w:p>
      <w:pPr>
        <w:shd w:val="clear" w:color="auto" w:fill="FFFFFF"/>
        <w:spacing w:after="18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5 января 2022</w:t>
      </w:r>
    </w:p>
    <w:p>
      <w:pPr>
        <w:shd w:val="clear" w:color="auto" w:fill="FFFFFF"/>
        <w:spacing w:after="255" w:line="270" w:lineRule="atLeast"/>
        <w:rPr>
          <w:rFonts w:ascii="Times New Roman" w:hAnsi="Times New Roman" w:eastAsia="Times New Roman" w:cs="Times New Roman"/>
          <w:sz w:val="23"/>
          <w:szCs w:val="23"/>
          <w:lang w:eastAsia="ru-RU"/>
        </w:rPr>
      </w:pPr>
      <w:bookmarkStart w:id="0" w:name="0"/>
      <w:bookmarkEnd w:id="0"/>
      <w:r>
        <w:rPr>
          <w:rFonts w:ascii="Times New Roman" w:hAnsi="Times New Roman" w:eastAsia="Times New Roman" w:cs="Times New Roman"/>
          <w:sz w:val="23"/>
          <w:szCs w:val="23"/>
          <w:lang w:eastAsia="ru-RU"/>
        </w:rPr>
        <w:t>Правительство Российской Федерации постановляет:</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1. Утвердить прилагаемые </w:t>
      </w:r>
      <w:r>
        <w:fldChar w:fldCharType="begin"/>
      </w:r>
      <w:r>
        <w:instrText xml:space="preserve"> HYPERLINK "https://www.garant.ru/products/ipo/prime/doc/403236531/" \l "1000" </w:instrText>
      </w:r>
      <w:r>
        <w:fldChar w:fldCharType="separate"/>
      </w:r>
      <w:r>
        <w:rPr>
          <w:rFonts w:ascii="Times New Roman" w:hAnsi="Times New Roman" w:eastAsia="Times New Roman" w:cs="Times New Roman"/>
          <w:color w:val="808080"/>
          <w:sz w:val="23"/>
          <w:u w:val="single"/>
          <w:lang w:eastAsia="ru-RU"/>
        </w:rPr>
        <w:t>изменения</w:t>
      </w:r>
      <w:r>
        <w:rPr>
          <w:rFonts w:ascii="Times New Roman" w:hAnsi="Times New Roman" w:eastAsia="Times New Roman" w:cs="Times New Roman"/>
          <w:color w:val="808080"/>
          <w:sz w:val="23"/>
          <w:u w:val="single"/>
          <w:lang w:eastAsia="ru-RU"/>
        </w:rPr>
        <w:fldChar w:fldCharType="end"/>
      </w:r>
      <w:r>
        <w:rPr>
          <w:rFonts w:ascii="Times New Roman" w:hAnsi="Times New Roman" w:eastAsia="Times New Roman" w:cs="Times New Roman"/>
          <w:sz w:val="23"/>
          <w:szCs w:val="23"/>
          <w:lang w:eastAsia="ru-RU"/>
        </w:rPr>
        <w:t>, которые вносятся в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 сырья и продовольствия.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2. Настоящее постановление вступает в силу с 1 января 2022 г.</w:t>
      </w:r>
    </w:p>
    <w:tbl>
      <w:tblPr>
        <w:tblStyle w:val="5"/>
        <w:tblW w:w="0" w:type="auto"/>
        <w:tblInd w:w="0" w:type="dxa"/>
        <w:tblLayout w:type="autofit"/>
        <w:tblCellMar>
          <w:top w:w="15" w:type="dxa"/>
          <w:left w:w="15" w:type="dxa"/>
          <w:bottom w:w="15" w:type="dxa"/>
          <w:right w:w="15" w:type="dxa"/>
        </w:tblCellMar>
      </w:tblPr>
      <w:tblGrid>
        <w:gridCol w:w="3008"/>
        <w:gridCol w:w="3008"/>
      </w:tblGrid>
      <w:tr>
        <w:tblPrEx>
          <w:tblCellMar>
            <w:top w:w="15" w:type="dxa"/>
            <w:left w:w="15" w:type="dxa"/>
            <w:bottom w:w="15" w:type="dxa"/>
            <w:right w:w="15" w:type="dxa"/>
          </w:tblCellMar>
        </w:tblPrEx>
        <w:tc>
          <w:tcPr>
            <w:tcW w:w="2500" w:type="pct"/>
          </w:tcPr>
          <w:p>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Председатель Правительства</w:t>
            </w:r>
            <w:r>
              <w:rPr>
                <w:rFonts w:ascii="Times New Roman" w:hAnsi="Times New Roman" w:eastAsia="Times New Roman" w:cs="Times New Roman"/>
                <w:sz w:val="24"/>
                <w:szCs w:val="24"/>
                <w:lang w:eastAsia="ru-RU"/>
              </w:rPr>
              <w:br w:type="textWrapping"/>
            </w:r>
            <w:r>
              <w:rPr>
                <w:rFonts w:ascii="Times New Roman" w:hAnsi="Times New Roman" w:eastAsia="Times New Roman" w:cs="Times New Roman"/>
                <w:sz w:val="24"/>
                <w:szCs w:val="24"/>
                <w:lang w:eastAsia="ru-RU"/>
              </w:rPr>
              <w:t>Российской Федерации</w:t>
            </w:r>
          </w:p>
        </w:tc>
        <w:tc>
          <w:tcPr>
            <w:tcW w:w="2500" w:type="pct"/>
          </w:tcPr>
          <w:p>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 Мишустин</w:t>
            </w:r>
          </w:p>
        </w:tc>
      </w:tr>
    </w:tbl>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УТВЕРЖДЕНЫ</w:t>
      </w:r>
      <w:r>
        <w:rPr>
          <w:rFonts w:ascii="Times New Roman" w:hAnsi="Times New Roman" w:eastAsia="Times New Roman" w:cs="Times New Roman"/>
          <w:sz w:val="23"/>
          <w:szCs w:val="23"/>
          <w:lang w:eastAsia="ru-RU"/>
        </w:rPr>
        <w:br w:type="textWrapping"/>
      </w:r>
      <w:r>
        <w:fldChar w:fldCharType="begin"/>
      </w:r>
      <w:r>
        <w:instrText xml:space="preserve"> HYPERLINK "https://www.garant.ru/products/ipo/prime/doc/403236531/" \l "0" </w:instrText>
      </w:r>
      <w:r>
        <w:fldChar w:fldCharType="separate"/>
      </w:r>
      <w:r>
        <w:rPr>
          <w:rFonts w:ascii="Times New Roman" w:hAnsi="Times New Roman" w:eastAsia="Times New Roman" w:cs="Times New Roman"/>
          <w:color w:val="808080"/>
          <w:sz w:val="23"/>
          <w:u w:val="single"/>
          <w:lang w:eastAsia="ru-RU"/>
        </w:rPr>
        <w:t>постановлением</w:t>
      </w:r>
      <w:r>
        <w:rPr>
          <w:rFonts w:ascii="Times New Roman" w:hAnsi="Times New Roman" w:eastAsia="Times New Roman" w:cs="Times New Roman"/>
          <w:color w:val="808080"/>
          <w:sz w:val="23"/>
          <w:u w:val="single"/>
          <w:lang w:eastAsia="ru-RU"/>
        </w:rPr>
        <w:fldChar w:fldCharType="end"/>
      </w:r>
      <w:r>
        <w:rPr>
          <w:rFonts w:ascii="Times New Roman" w:hAnsi="Times New Roman" w:eastAsia="Times New Roman" w:cs="Times New Roman"/>
          <w:sz w:val="23"/>
          <w:szCs w:val="23"/>
          <w:lang w:eastAsia="ru-RU"/>
        </w:rPr>
        <w:t> Правительства</w:t>
      </w:r>
      <w:r>
        <w:rPr>
          <w:rFonts w:ascii="Times New Roman" w:hAnsi="Times New Roman" w:eastAsia="Times New Roman" w:cs="Times New Roman"/>
          <w:sz w:val="23"/>
          <w:szCs w:val="23"/>
          <w:lang w:eastAsia="ru-RU"/>
        </w:rPr>
        <w:br w:type="textWrapping"/>
      </w:r>
      <w:r>
        <w:rPr>
          <w:rFonts w:ascii="Times New Roman" w:hAnsi="Times New Roman" w:eastAsia="Times New Roman" w:cs="Times New Roman"/>
          <w:sz w:val="23"/>
          <w:szCs w:val="23"/>
          <w:lang w:eastAsia="ru-RU"/>
        </w:rPr>
        <w:t>Российской Федерации</w:t>
      </w:r>
      <w:r>
        <w:rPr>
          <w:rFonts w:ascii="Times New Roman" w:hAnsi="Times New Roman" w:eastAsia="Times New Roman" w:cs="Times New Roman"/>
          <w:sz w:val="23"/>
          <w:szCs w:val="23"/>
          <w:lang w:eastAsia="ru-RU"/>
        </w:rPr>
        <w:br w:type="textWrapping"/>
      </w:r>
      <w:r>
        <w:rPr>
          <w:rFonts w:ascii="Times New Roman" w:hAnsi="Times New Roman" w:eastAsia="Times New Roman" w:cs="Times New Roman"/>
          <w:sz w:val="23"/>
          <w:szCs w:val="23"/>
          <w:lang w:eastAsia="ru-RU"/>
        </w:rPr>
        <w:t>от 24 декабря 2021 г. N 2451</w:t>
      </w:r>
    </w:p>
    <w:p>
      <w:pPr>
        <w:shd w:val="clear" w:color="auto" w:fill="FFFFFF"/>
        <w:spacing w:after="255" w:line="270" w:lineRule="atLeast"/>
        <w:outlineLvl w:val="2"/>
        <w:rPr>
          <w:rFonts w:ascii="Times New Roman" w:hAnsi="Times New Roman" w:eastAsia="Times New Roman" w:cs="Times New Roman"/>
          <w:b/>
          <w:bCs/>
          <w:color w:val="333333"/>
          <w:sz w:val="26"/>
          <w:szCs w:val="26"/>
          <w:lang w:eastAsia="ru-RU"/>
        </w:rPr>
      </w:pPr>
      <w:r>
        <w:rPr>
          <w:rFonts w:ascii="Times New Roman" w:hAnsi="Times New Roman" w:eastAsia="Times New Roman" w:cs="Times New Roman"/>
          <w:b/>
          <w:bCs/>
          <w:color w:val="333333"/>
          <w:sz w:val="26"/>
          <w:szCs w:val="26"/>
          <w:lang w:eastAsia="ru-RU"/>
        </w:rPr>
        <w:t>Изменения,</w:t>
      </w:r>
      <w:r>
        <w:rPr>
          <w:rFonts w:ascii="Times New Roman" w:hAnsi="Times New Roman" w:eastAsia="Times New Roman" w:cs="Times New Roman"/>
          <w:b/>
          <w:bCs/>
          <w:color w:val="333333"/>
          <w:sz w:val="26"/>
          <w:szCs w:val="26"/>
          <w:lang w:eastAsia="ru-RU"/>
        </w:rPr>
        <w:br w:type="textWrapping"/>
      </w:r>
      <w:r>
        <w:rPr>
          <w:rFonts w:ascii="Times New Roman" w:hAnsi="Times New Roman" w:eastAsia="Times New Roman" w:cs="Times New Roman"/>
          <w:b/>
          <w:bCs/>
          <w:color w:val="333333"/>
          <w:sz w:val="26"/>
          <w:szCs w:val="26"/>
          <w:lang w:eastAsia="ru-RU"/>
        </w:rPr>
        <w:t>которые вносятся в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 сырья и продовольствия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1. В приложении N 8 к Государственной программе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(Собрание законодательства Российской Федерации, 2012, N 32, ст. 4549; 2013, N 30, ст. 4110; 2017, N 15, ст. 2227; N 32, ст. 5083; N 52, ст. 8126; 2018, N 50, ст. 7758; 2019, N 7, ст. 631; N 50, ст. 7376; 2020, N 14, ст. 2129; N 23, ст. 3644; N 41, ст. 6436; 2021, N 13, ст. 2243; N 15, ст. 2601; N 37, ст. 6496; Официальный интернет-портал правовой информации (www.pravo.gov.ru), 2021, 3 декабря, N 0001202112030003):</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а) подпункт "е" пункта 2 после абзаца одиннадцатого дополнить абзацем следующего содержания: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"развитие личных подсобных хозяйств, ведение которых осуществляют граждане, применяющие специальный налоговый режим "Налог на профессиональный доход";";</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б) пункт 5 дополнить подпунктом "к" следующего содержания: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"к) гражданам, ведущим личные подсобные хозяйства и применяющим специальный налоговый режим "Налог на профессиональный доход", на финансовое обеспечение (возмещение) части затрат на софинансирование мероприятий региональных программ по ставке на 1 голову, и (или) 1 гектар, и (или) 1 тонну, направленных на обеспечение прироста производства овощей открытого грунта, производства картофеля, производства молока, на развитие специализированного мясного скотоводства, развитие овцеводства и козоводства.";</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в) пункт 6 дополнить подпунктом "е" следующего содержания: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"е) по направлениям, указанным в </w:t>
      </w:r>
      <w:r>
        <w:fldChar w:fldCharType="begin"/>
      </w:r>
      <w:r>
        <w:instrText xml:space="preserve"> HYPERLINK "https://www.garant.ru/products/ipo/prime/doc/403236531/" \l "8060" </w:instrText>
      </w:r>
      <w:r>
        <w:fldChar w:fldCharType="separate"/>
      </w:r>
      <w:r>
        <w:rPr>
          <w:rFonts w:ascii="Times New Roman" w:hAnsi="Times New Roman" w:eastAsia="Times New Roman" w:cs="Times New Roman"/>
          <w:color w:val="808080"/>
          <w:sz w:val="23"/>
          <w:u w:val="single"/>
          <w:lang w:eastAsia="ru-RU"/>
        </w:rPr>
        <w:t>подпункте "к" пункта 5</w:t>
      </w:r>
      <w:r>
        <w:rPr>
          <w:rFonts w:ascii="Times New Roman" w:hAnsi="Times New Roman" w:eastAsia="Times New Roman" w:cs="Times New Roman"/>
          <w:color w:val="808080"/>
          <w:sz w:val="23"/>
          <w:u w:val="single"/>
          <w:lang w:eastAsia="ru-RU"/>
        </w:rPr>
        <w:fldChar w:fldCharType="end"/>
      </w:r>
      <w:r>
        <w:rPr>
          <w:rFonts w:ascii="Times New Roman" w:hAnsi="Times New Roman" w:eastAsia="Times New Roman" w:cs="Times New Roman"/>
          <w:sz w:val="23"/>
          <w:szCs w:val="23"/>
          <w:lang w:eastAsia="ru-RU"/>
        </w:rPr>
        <w:t> настоящих Правил, для граждан, ведущих личное подсобное хозяйство и применяющих специальный налоговый режим "Налог на профессиональный доход", с учетом следующих условий:</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применение налогового режима должно подтверждаться справкой о постановке на учет (снятии с учета) физического лица в качестве плательщика налога на профессиональный доход;</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гражданин, ведущий личное подсобное хозяйство и применяющий специальный налоговый режим "Налог на профессиональный доход", должен представить выписку из похозяйственной книги, подтверждающую ведение производственной деятельности не менее чем в течение 12 месяцев, предшествующих году предоставления субсидии;</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гражданин, ведущий личное подсобное хозяйство и применяющий специальный налоговый режим "Налог на профессиональный доход", должен подтвердить затраты на производство сельскохозяйственной продукции и развитие сельскохозяйственных отраслей, указанные в </w:t>
      </w:r>
      <w:r>
        <w:fldChar w:fldCharType="begin"/>
      </w:r>
      <w:r>
        <w:instrText xml:space="preserve"> HYPERLINK "https://www.garant.ru/products/ipo/prime/doc/403236531/" \l "8060" </w:instrText>
      </w:r>
      <w:r>
        <w:fldChar w:fldCharType="separate"/>
      </w:r>
      <w:r>
        <w:rPr>
          <w:rFonts w:ascii="Times New Roman" w:hAnsi="Times New Roman" w:eastAsia="Times New Roman" w:cs="Times New Roman"/>
          <w:color w:val="808080"/>
          <w:sz w:val="23"/>
          <w:u w:val="single"/>
          <w:lang w:eastAsia="ru-RU"/>
        </w:rPr>
        <w:t>подпункте "к" пункта 5</w:t>
      </w:r>
      <w:r>
        <w:rPr>
          <w:rFonts w:ascii="Times New Roman" w:hAnsi="Times New Roman" w:eastAsia="Times New Roman" w:cs="Times New Roman"/>
          <w:color w:val="808080"/>
          <w:sz w:val="23"/>
          <w:u w:val="single"/>
          <w:lang w:eastAsia="ru-RU"/>
        </w:rPr>
        <w:fldChar w:fldCharType="end"/>
      </w:r>
      <w:r>
        <w:rPr>
          <w:rFonts w:ascii="Times New Roman" w:hAnsi="Times New Roman" w:eastAsia="Times New Roman" w:cs="Times New Roman"/>
          <w:sz w:val="23"/>
          <w:szCs w:val="23"/>
          <w:lang w:eastAsia="ru-RU"/>
        </w:rPr>
        <w:t> настоящих Правил (договоры купли-продажи, товарные накладные, платежные документы, расписки в получении денежных средств (в случае заключения договоров с физическими лицами), универсальные передаточные документы, акты приема-передачи, акты о приемке выполненных работ (оказании услуг), товарные чеки, выписки из банка и иные документы, подтверждающие факт оплаты приобретения основных средств или расходных материалов, использованных при производстве продукции, на которую предоставляется субсидия).";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г) пункт 7 дополнить абзацем следующего содержания: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"Размер средств, предоставляемых субъектом Российской Федерации по направлению, указанному в </w:t>
      </w:r>
      <w:r>
        <w:fldChar w:fldCharType="begin"/>
      </w:r>
      <w:r>
        <w:instrText xml:space="preserve"> HYPERLINK "https://www.garant.ru/products/ipo/prime/doc/403236531/" \l "8060" </w:instrText>
      </w:r>
      <w:r>
        <w:fldChar w:fldCharType="separate"/>
      </w:r>
      <w:r>
        <w:rPr>
          <w:rFonts w:ascii="Times New Roman" w:hAnsi="Times New Roman" w:eastAsia="Times New Roman" w:cs="Times New Roman"/>
          <w:color w:val="808080"/>
          <w:sz w:val="23"/>
          <w:u w:val="single"/>
          <w:lang w:eastAsia="ru-RU"/>
        </w:rPr>
        <w:t>подпункте "к" пункта 5</w:t>
      </w:r>
      <w:r>
        <w:rPr>
          <w:rFonts w:ascii="Times New Roman" w:hAnsi="Times New Roman" w:eastAsia="Times New Roman" w:cs="Times New Roman"/>
          <w:color w:val="808080"/>
          <w:sz w:val="23"/>
          <w:u w:val="single"/>
          <w:lang w:eastAsia="ru-RU"/>
        </w:rPr>
        <w:fldChar w:fldCharType="end"/>
      </w:r>
      <w:r>
        <w:rPr>
          <w:rFonts w:ascii="Times New Roman" w:hAnsi="Times New Roman" w:eastAsia="Times New Roman" w:cs="Times New Roman"/>
          <w:sz w:val="23"/>
          <w:szCs w:val="23"/>
          <w:lang w:eastAsia="ru-RU"/>
        </w:rPr>
        <w:t> настоящих Правил, предусматривается в пределах объема субсидии, распределяемого субъектом Российской Федерации на новые приоритетные подотрасли агропромышленного комплекса, в соответствии с пунктом 27 настоящих Правил.";</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д) пункт 32 изложить в следующей редакции:</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"32. Для оценки эффективности использования субсидии и в соответствии с приоритетными подотраслями агропромышленного комплекса, определенными субъектами Российской Федерации в соглашениях о предоставлении субсидии, применяются следующие результаты использования субсидии:</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а) прирост производства овощей открытого грунта в сельскохозяйственных организациях, крестьянских (фермерских) хозяйствах и у индивидуальных предпринимателей за отчетный год по отношению к показателю, предусмотренному соглашением о предоставлении субсидии, за предыдущий год (тыс. тонн);</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б) площадь закладки многолетних насаждений в сельскохозяйственных организациях, крестьянских (фермерских) хозяйствах и у индивидуальных предпринимателей (тыс. гектаров);</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в) валовой сбор льноволокна и пеньковолокна в сельскохозяйственных организациях, крестьянских (фермерских) хозяйствах и у индивидуальных предпринимателей (тыс. тонн);</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г) прирост производства молока в сельскохозяйственных организациях, крестьянских (фермерских) хозяйствах и у индивидуальных предпринимателей за отчетный год по отношению к среднему за 5 лет, предшествующих текущему финансовому году, объему производства молока (тыс. тонн). Оценка эффективности по указанному результату использования субсидии осуществляется на основании данных за период, соответствующий периоду, применяемому при расчете планового результата использования субсидии;</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д) прирост маточного товарного поголовья крупного рогатого скота специализированных мясных пород в сельскохозяйственных организациях, крестьянских (фермерских) хозяйствах и у индивидуальных предпринимателей за отчетный год по отношению к предыдущему году (тыс. голов);</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е) реализация овец и коз на убой (в живом весе) в сельскохозяйственных организациях, крестьянских (фермерских) хозяйствах и у индивидуальных предпринимателей за отчетный год (тыс. тонн);</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ж) прирост маточного товарного поголовья овец и коз в сельскохозяйственных организациях, крестьянских (фермерских) хозяйствах и у индивидуальных предпринимателей за отчетный год по отношению к предыдущему году (тыс. голов);</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з) количество проектов грантополучателей, реализуемых с помощью грантовой поддержки на развитие семейных ферм и гранта "Агропрогресс", обеспечивающих прирост объема производства сельскохозяйственной продукции в отчетном году по отношению к предыдущему году не менее чем на 8 процентов (единиц);</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и) количество проектов грантополучателей, реализуемых с помощью грантовой поддержки на развитие материально-технической базы сельскохозяйственных потребительских кооперативов, обеспечивших прирост объема реализации сельскохозяйственной продукции в отчетном году по отношению к предыдущему году не менее чем на 8 процентов (единиц);</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к) площадь уходных работ за многолетними насаждениями (до вступления в товарное плодоношение, но не более 3 лет с момента закладки для садов интенсивного типа) в сельскохозяйственных организациях, крестьянских (фермерских) хозяйствах и у индивидуальных предпринимателей (тыс. гектаров);</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л) прирост объема зерна, использованного на глубокую переработку, за отчетный год по отношению к среднему объему зерна, использованного на глубокую переработку за 5 лет, предшествующих отчетному году (тыс. тонн);</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м) прирост объема молока сырого крупного рогатого скота, козьего и овечьего, переработанного на пищевую продукцию, за отчетный год по отношению к среднему объему молока сырого крупного рогатого скота, козьего и овечьего, переработанного на пищевую продукцию за 5 лет, предшествующих отчетному году (тыс. тонн);</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н) остаток ссудной задолженности, по которой предоставлены средства на уплату процентов, по состоянию на 1 июля года, в котором осуществляется расчет распределения субсидии (тыс. рублей);</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о) объем реализованной продукции овощеводства защищенного грунта собственного производства, выращенной с применением технологии досвечивания (тыс. тонн);</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п) прирост объема реализованной продукции, произведенной гражданами, ведущими личные подсобные хозяйства и применяющими специальный налоговый режим "Налог на профессиональный доход", по отношению к году, предшествующему году получения субсидии (процентов).";</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е) пункт 33 дополнить абзацем следующего содержания: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"Оценка эффективности использования субсидий по результату, предусмотренному </w:t>
      </w:r>
      <w:r>
        <w:fldChar w:fldCharType="begin"/>
      </w:r>
      <w:r>
        <w:instrText xml:space="preserve"> HYPERLINK "https://www.garant.ru/products/ipo/prime/doc/403236531/" \l "83215" </w:instrText>
      </w:r>
      <w:r>
        <w:fldChar w:fldCharType="separate"/>
      </w:r>
      <w:r>
        <w:rPr>
          <w:rFonts w:ascii="Times New Roman" w:hAnsi="Times New Roman" w:eastAsia="Times New Roman" w:cs="Times New Roman"/>
          <w:color w:val="808080"/>
          <w:sz w:val="23"/>
          <w:u w:val="single"/>
          <w:lang w:eastAsia="ru-RU"/>
        </w:rPr>
        <w:t>подпунктом "п" пункта 32</w:t>
      </w:r>
      <w:r>
        <w:rPr>
          <w:rFonts w:ascii="Times New Roman" w:hAnsi="Times New Roman" w:eastAsia="Times New Roman" w:cs="Times New Roman"/>
          <w:color w:val="808080"/>
          <w:sz w:val="23"/>
          <w:u w:val="single"/>
          <w:lang w:eastAsia="ru-RU"/>
        </w:rPr>
        <w:fldChar w:fldCharType="end"/>
      </w:r>
      <w:r>
        <w:rPr>
          <w:rFonts w:ascii="Times New Roman" w:hAnsi="Times New Roman" w:eastAsia="Times New Roman" w:cs="Times New Roman"/>
          <w:sz w:val="23"/>
          <w:szCs w:val="23"/>
          <w:lang w:eastAsia="ru-RU"/>
        </w:rPr>
        <w:t> настоящих Правил, осуществляется на основании сформированных данных по гражданам, ведущим личное подсобное хозяйство и применяющим специальный налоговый режим "Налог на профессиональный доход", представляемых в порядке и по форме, которые определены Министерством сельского хозяйства Российской Федерации.".</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2. Подпункт "и" пункта 3 изменений, которые вносятся в Государственную программу развития сельского хозяйства и регулирования рынков сельскохозяйственной продукции, сырья и продовольствия, утвержденных постановлением Правительства Российской Федерации от 26 ноября 2021 г. N 2063 "О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отдельных положений некоторых актов Правительства Российской Федерации" (Официальный интернет-портал правовой информации (www.pravo.gov.ru), 2021, 3 декабря, N 0001202112030003), исключить.</w:t>
      </w:r>
    </w:p>
    <w:p>
      <w:pPr>
        <w:shd w:val="clear" w:color="auto" w:fill="FFFFFF"/>
        <w:spacing w:after="255" w:line="300" w:lineRule="atLeast"/>
        <w:outlineLvl w:val="1"/>
        <w:rPr>
          <w:rFonts w:ascii="Times New Roman" w:hAnsi="Times New Roman" w:eastAsia="Times New Roman" w:cs="Times New Roman"/>
          <w:b/>
          <w:bCs/>
          <w:color w:val="4D4D4D"/>
          <w:sz w:val="27"/>
          <w:szCs w:val="27"/>
          <w:lang w:eastAsia="ru-RU"/>
        </w:rPr>
      </w:pPr>
      <w:bookmarkStart w:id="1" w:name="review"/>
      <w:bookmarkEnd w:id="1"/>
      <w:r>
        <w:rPr>
          <w:rFonts w:ascii="Times New Roman" w:hAnsi="Times New Roman" w:eastAsia="Times New Roman" w:cs="Times New Roman"/>
          <w:b/>
          <w:bCs/>
          <w:color w:val="4D4D4D"/>
          <w:sz w:val="27"/>
          <w:szCs w:val="27"/>
          <w:lang w:eastAsia="ru-RU"/>
        </w:rPr>
        <w:t>Обзор документа</w:t>
      </w:r>
    </w:p>
    <w:p>
      <w:pPr>
        <w:shd w:val="clear" w:color="auto" w:fill="FFFFFF"/>
        <w:spacing w:before="255" w:after="255"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pict>
          <v:rect id="_x0000_i1025" o:spt="1" style="height:0.75pt;width:0pt;" fillcolor="#A0A0A0" filled="t" stroked="f" coordsize="21600,21600" o:hr="t" o:hrstd="t" o:hralign="center">
            <v:path/>
            <v:fill on="t" focussize="0,0"/>
            <v:stroke on="f"/>
            <v:imagedata o:title=""/>
            <o:lock v:ext="edit"/>
            <w10:wrap type="none"/>
            <w10:anchorlock/>
          </v:rect>
        </w:pic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Правительство скорректировало госпрограмму развития сельского хозяйства и регулирования рынков сельхозпродукции, сырья и продовольствия.</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Граждане, занимающиеся развитием личных подсобных хозяйств и официально зарегистрированные как самозанятые, смогут получать субсидии от государства на наращивание производства овощей, молока и мяса.</w:t>
      </w:r>
    </w:p>
    <w:p>
      <w:pPr>
        <w:shd w:val="clear" w:color="auto" w:fill="FFFFFF"/>
        <w:spacing w:after="255" w:line="270" w:lineRule="atLeast"/>
        <w:rPr>
          <w:rFonts w:ascii="Times New Roman" w:hAnsi="Times New Roman" w:eastAsia="Times New Roman" w:cs="Times New Roman"/>
          <w:sz w:val="23"/>
          <w:szCs w:val="23"/>
          <w:lang w:eastAsia="ru-RU"/>
        </w:rPr>
      </w:pPr>
      <w:r>
        <w:rPr>
          <w:rFonts w:ascii="Times New Roman" w:hAnsi="Times New Roman" w:eastAsia="Times New Roman" w:cs="Times New Roman"/>
          <w:sz w:val="23"/>
          <w:szCs w:val="23"/>
          <w:lang w:eastAsia="ru-RU"/>
        </w:rPr>
        <w:t>Постановление вступает в силу с 1 января 2022 г.</w:t>
      </w:r>
    </w:p>
    <w:p>
      <w:pPr>
        <w:shd w:val="clear" w:color="auto" w:fill="FFFFFF"/>
        <w:spacing w:after="0" w:line="240" w:lineRule="auto"/>
        <w:rPr>
          <w:rFonts w:ascii="Times New Roman" w:hAnsi="Times New Roman" w:eastAsia="Times New Roman" w:cs="Times New Roman"/>
          <w:sz w:val="24"/>
          <w:szCs w:val="24"/>
          <w:lang w:eastAsia="ru-RU"/>
        </w:rPr>
      </w:pPr>
      <w:r>
        <w:rPr>
          <w:rFonts w:ascii="Georgia" w:hAnsi="Georgia" w:eastAsia="Times New Roman" w:cs="Times New Roman"/>
          <w:b/>
          <w:bCs/>
          <w:i/>
          <w:iCs/>
          <w:sz w:val="28"/>
          <w:lang w:eastAsia="ru-RU"/>
        </w:rPr>
        <w:t>Для просмотра актуального текста документа и получения полной информации о вступлении в силу, изменениях и порядке применения документа, воспользуйтесь поиском в Интернет-версии системы ГАРАНТ:</w:t>
      </w:r>
    </w:p>
    <w:p>
      <w:pPr>
        <w:pBdr>
          <w:bottom w:val="single" w:color="auto" w:sz="6" w:space="1"/>
        </w:pBdr>
        <w:spacing w:after="0" w:line="240" w:lineRule="auto"/>
        <w:jc w:val="center"/>
        <w:rPr>
          <w:rFonts w:ascii="Arial" w:hAnsi="Arial" w:eastAsia="Times New Roman" w:cs="Arial"/>
          <w:vanish/>
          <w:sz w:val="16"/>
          <w:szCs w:val="16"/>
          <w:lang w:eastAsia="ru-RU"/>
        </w:rPr>
      </w:pPr>
      <w:r>
        <w:rPr>
          <w:rFonts w:ascii="Arial" w:hAnsi="Arial" w:eastAsia="Times New Roman" w:cs="Arial"/>
          <w:vanish/>
          <w:sz w:val="16"/>
          <w:szCs w:val="16"/>
          <w:lang w:eastAsia="ru-RU"/>
        </w:rPr>
        <w:t>Начало формы</w:t>
      </w:r>
    </w:p>
    <w:p>
      <w:pPr>
        <w:shd w:val="clear" w:color="auto" w:fill="FFFFFF"/>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object>
          <v:shape id="_x0000_i1026" o:spt="201" alt="" type="#_x0000_t201" style="height:18pt;width:72pt;" o:ole="t" filled="f" o:preferrelative="t" stroked="f" coordsize="21600,21600">
            <v:path/>
            <v:fill on="f" focussize="0,0"/>
            <v:stroke on="f"/>
            <v:imagedata r:id="rId7" o:title=""/>
            <o:lock v:ext="edit" aspectratio="t"/>
            <w10:wrap type="none"/>
            <w10:anchorlock/>
          </v:shape>
          <w:control r:id="rId6" w:name="Control 2" w:shapeid="_x0000_i1026"/>
        </w:object>
      </w:r>
      <w:r>
        <w:rPr>
          <w:rFonts w:ascii="Times New Roman" w:hAnsi="Times New Roman" w:eastAsia="Times New Roman" w:cs="Times New Roman"/>
          <w:color w:val="808080"/>
          <w:sz w:val="24"/>
          <w:szCs w:val="24"/>
          <w:lang w:eastAsia="ru-RU"/>
        </w:rPr>
        <w:drawing>
          <wp:inline distT="0" distB="0" distL="0" distR="0">
            <wp:extent cx="171450" cy="180975"/>
            <wp:effectExtent l="19050" t="0" r="0" b="0"/>
            <wp:docPr id="2" name="Рисунок 2" descr="https://www.garant.ru/static/garant/images/content/search-ico.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https://www.garant.ru/static/garant/images/content/search-ico.png"/>
                    <pic:cNvPicPr>
                      <a:picLocks noChangeAspect="1" noChangeArrowheads="1"/>
                    </pic:cNvPicPr>
                  </pic:nvPicPr>
                  <pic:blipFill>
                    <a:blip r:embed="rId9"/>
                    <a:srcRect/>
                    <a:stretch>
                      <a:fillRect/>
                    </a:stretch>
                  </pic:blipFill>
                  <pic:spPr>
                    <a:xfrm>
                      <a:off x="0" y="0"/>
                      <a:ext cx="171450" cy="180975"/>
                    </a:xfrm>
                    <a:prstGeom prst="rect">
                      <a:avLst/>
                    </a:prstGeom>
                    <a:noFill/>
                    <a:ln w="9525">
                      <a:noFill/>
                      <a:miter lim="800000"/>
                      <a:headEnd/>
                      <a:tailEnd/>
                    </a:ln>
                  </pic:spPr>
                </pic:pic>
              </a:graphicData>
            </a:graphic>
          </wp:inline>
        </w:drawing>
      </w:r>
    </w:p>
    <w:p>
      <w:pPr>
        <w:pBdr>
          <w:top w:val="single" w:color="auto" w:sz="6" w:space="1"/>
        </w:pBdr>
        <w:spacing w:line="240" w:lineRule="auto"/>
        <w:jc w:val="center"/>
        <w:rPr>
          <w:rFonts w:ascii="Arial" w:hAnsi="Arial" w:eastAsia="Times New Roman" w:cs="Arial"/>
          <w:vanish/>
          <w:sz w:val="16"/>
          <w:szCs w:val="16"/>
          <w:lang w:eastAsia="ru-RU"/>
        </w:rPr>
      </w:pPr>
      <w:r>
        <w:rPr>
          <w:rFonts w:ascii="Arial" w:hAnsi="Arial" w:eastAsia="Times New Roman" w:cs="Arial"/>
          <w:vanish/>
          <w:sz w:val="16"/>
          <w:szCs w:val="16"/>
          <w:lang w:eastAsia="ru-RU"/>
        </w:rPr>
        <w:t>Конец формы</w:t>
      </w:r>
    </w:p>
    <w:p>
      <w:pPr>
        <w:shd w:val="clear" w:color="auto" w:fill="FFFFFF"/>
        <w:spacing w:after="0" w:line="240" w:lineRule="auto"/>
        <w:rPr>
          <w:rFonts w:ascii="Times New Roman" w:hAnsi="Times New Roman" w:eastAsia="Times New Roman" w:cs="Times New Roman"/>
          <w:sz w:val="24"/>
          <w:szCs w:val="24"/>
          <w:lang w:eastAsia="ru-RU"/>
        </w:rPr>
      </w:pPr>
      <w:r>
        <w:fldChar w:fldCharType="begin"/>
      </w:r>
      <w:r>
        <w:instrText xml:space="preserve"> HYPERLINK "https://www.garant.ru/company/disclaimer/" \t "_blank" </w:instrText>
      </w:r>
      <w:r>
        <w:fldChar w:fldCharType="separate"/>
      </w:r>
      <w:r>
        <w:rPr>
          <w:rFonts w:ascii="Times New Roman" w:hAnsi="Times New Roman" w:eastAsia="Times New Roman" w:cs="Times New Roman"/>
          <w:color w:val="808080"/>
          <w:sz w:val="18"/>
          <w:u w:val="single"/>
          <w:lang w:eastAsia="ru-RU"/>
        </w:rPr>
        <w:t>Перепечатка</w:t>
      </w:r>
      <w:r>
        <w:rPr>
          <w:rFonts w:ascii="Times New Roman" w:hAnsi="Times New Roman" w:eastAsia="Times New Roman" w:cs="Times New Roman"/>
          <w:color w:val="808080"/>
          <w:sz w:val="18"/>
          <w:u w:val="single"/>
          <w:lang w:eastAsia="ru-RU"/>
        </w:rPr>
        <w:fldChar w:fldCharType="end"/>
      </w:r>
    </w:p>
    <w:p>
      <w:pPr>
        <w:numPr>
          <w:ilvl w:val="0"/>
          <w:numId w:val="1"/>
        </w:numPr>
        <w:shd w:val="clear" w:color="auto" w:fill="FFFFFF"/>
        <w:spacing w:before="100" w:beforeAutospacing="1" w:after="100" w:afterAutospacing="1" w:line="240" w:lineRule="auto"/>
        <w:ind w:left="450" w:firstLine="0"/>
        <w:textAlignment w:val="baseline"/>
        <w:rPr>
          <w:rFonts w:ascii="Times New Roman" w:hAnsi="Times New Roman" w:eastAsia="Times New Roman" w:cs="Times New Roman"/>
          <w:color w:val="000000"/>
          <w:sz w:val="18"/>
          <w:szCs w:val="18"/>
          <w:lang w:eastAsia="ru-RU"/>
        </w:rPr>
      </w:pPr>
    </w:p>
    <w:p>
      <w:pPr>
        <w:numPr>
          <w:ilvl w:val="0"/>
          <w:numId w:val="1"/>
        </w:numPr>
        <w:shd w:val="clear" w:color="auto" w:fill="FFFFFF"/>
        <w:spacing w:before="100" w:beforeAutospacing="1" w:after="100" w:afterAutospacing="1" w:line="240" w:lineRule="auto"/>
        <w:ind w:left="450" w:firstLine="0"/>
        <w:textAlignment w:val="baseline"/>
        <w:rPr>
          <w:rFonts w:ascii="Times New Roman" w:hAnsi="Times New Roman" w:eastAsia="Times New Roman" w:cs="Times New Roman"/>
          <w:color w:val="000000"/>
          <w:sz w:val="18"/>
          <w:szCs w:val="18"/>
          <w:lang w:eastAsia="ru-RU"/>
        </w:rPr>
      </w:pPr>
    </w:p>
    <w:p>
      <w:pPr>
        <w:numPr>
          <w:ilvl w:val="0"/>
          <w:numId w:val="1"/>
        </w:numPr>
        <w:shd w:val="clear" w:color="auto" w:fill="FFFFFF"/>
        <w:spacing w:before="100" w:beforeAutospacing="1" w:after="100" w:afterAutospacing="1" w:line="240" w:lineRule="auto"/>
        <w:ind w:left="450" w:firstLine="0"/>
        <w:textAlignment w:val="baseline"/>
        <w:rPr>
          <w:rFonts w:ascii="Times New Roman" w:hAnsi="Times New Roman" w:eastAsia="Times New Roman" w:cs="Times New Roman"/>
          <w:color w:val="000000"/>
          <w:sz w:val="18"/>
          <w:szCs w:val="18"/>
          <w:lang w:eastAsia="ru-RU"/>
        </w:rPr>
      </w:pPr>
    </w:p>
    <w:p>
      <w:pPr>
        <w:numPr>
          <w:ilvl w:val="0"/>
          <w:numId w:val="1"/>
        </w:numPr>
        <w:shd w:val="clear" w:color="auto" w:fill="FFFFFF"/>
        <w:spacing w:before="100" w:beforeAutospacing="1" w:after="100" w:afterAutospacing="1" w:line="240" w:lineRule="auto"/>
        <w:ind w:left="450" w:firstLine="0"/>
        <w:textAlignment w:val="baseline"/>
        <w:rPr>
          <w:rFonts w:ascii="Times New Roman" w:hAnsi="Times New Roman" w:eastAsia="Times New Roman" w:cs="Times New Roman"/>
          <w:color w:val="000000"/>
          <w:sz w:val="18"/>
          <w:szCs w:val="18"/>
          <w:lang w:eastAsia="ru-RU"/>
        </w:rPr>
      </w:pPr>
    </w:p>
    <w:p>
      <w:pPr>
        <w:numPr>
          <w:ilvl w:val="0"/>
          <w:numId w:val="1"/>
        </w:numPr>
        <w:shd w:val="clear" w:color="auto" w:fill="FFFFFF"/>
        <w:spacing w:before="100" w:beforeAutospacing="1" w:after="100" w:afterAutospacing="1" w:line="240" w:lineRule="auto"/>
        <w:ind w:left="450" w:firstLine="0"/>
        <w:textAlignment w:val="baseline"/>
        <w:rPr>
          <w:rFonts w:ascii="Times New Roman" w:hAnsi="Times New Roman" w:eastAsia="Times New Roman" w:cs="Times New Roman"/>
          <w:color w:val="000000"/>
          <w:sz w:val="18"/>
          <w:szCs w:val="18"/>
          <w:lang w:eastAsia="ru-RU"/>
        </w:rPr>
      </w:pPr>
    </w:p>
    <w:p>
      <w:pPr>
        <w:shd w:val="clear" w:color="auto" w:fill="005DAB"/>
        <w:spacing w:after="0" w:line="336" w:lineRule="atLeast"/>
        <w:rPr>
          <w:rFonts w:ascii="Times New Roman" w:hAnsi="Times New Roman" w:eastAsia="Times New Roman" w:cs="Times New Roman"/>
          <w:color w:val="FFFFFF"/>
          <w:sz w:val="24"/>
          <w:szCs w:val="24"/>
          <w:lang w:eastAsia="ru-RU"/>
        </w:rPr>
      </w:pPr>
      <w:r>
        <w:rPr>
          <w:rFonts w:ascii="Times New Roman" w:hAnsi="Times New Roman" w:eastAsia="Times New Roman" w:cs="Times New Roman"/>
          <w:color w:val="808080"/>
          <w:sz w:val="24"/>
          <w:szCs w:val="24"/>
          <w:lang w:eastAsia="ru-RU"/>
        </w:rPr>
        <w:drawing>
          <wp:inline distT="0" distB="0" distL="0" distR="0">
            <wp:extent cx="95250" cy="104775"/>
            <wp:effectExtent l="19050" t="0" r="0" b="0"/>
            <wp:docPr id="3" name="Рисунок 3" descr="https://www.garant.ru/static/garant/images/layout/close-banner.png">
              <a:hlinkClick xmlns:a="http://schemas.openxmlformats.org/drawingml/2006/main" r:id="rId10" tooltip="&quot;Закры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https://www.garant.ru/static/garant/images/layout/close-banner.png"/>
                    <pic:cNvPicPr>
                      <a:picLocks noChangeAspect="1" noChangeArrowheads="1"/>
                    </pic:cNvPicPr>
                  </pic:nvPicPr>
                  <pic:blipFill>
                    <a:blip r:embed="rId11"/>
                    <a:srcRect/>
                    <a:stretch>
                      <a:fillRect/>
                    </a:stretch>
                  </pic:blipFill>
                  <pic:spPr>
                    <a:xfrm>
                      <a:off x="0" y="0"/>
                      <a:ext cx="95250" cy="104775"/>
                    </a:xfrm>
                    <a:prstGeom prst="rect">
                      <a:avLst/>
                    </a:prstGeom>
                    <a:noFill/>
                    <a:ln w="9525">
                      <a:noFill/>
                      <a:miter lim="800000"/>
                      <a:headEnd/>
                      <a:tailEnd/>
                    </a:ln>
                  </pic:spPr>
                </pic:pic>
              </a:graphicData>
            </a:graphic>
          </wp:inline>
        </w:drawing>
      </w:r>
    </w:p>
    <w:p>
      <w:pPr>
        <w:shd w:val="clear" w:color="auto" w:fill="005DAB"/>
        <w:spacing w:line="336" w:lineRule="atLeast"/>
        <w:jc w:val="center"/>
        <w:rPr>
          <w:rFonts w:ascii="Times New Roman" w:hAnsi="Times New Roman" w:eastAsia="Times New Roman" w:cs="Times New Roman"/>
          <w:color w:val="FFFFFF"/>
          <w:sz w:val="24"/>
          <w:szCs w:val="24"/>
          <w:lang w:eastAsia="ru-RU"/>
        </w:rPr>
      </w:pPr>
      <w:r>
        <w:rPr>
          <w:rFonts w:ascii="Times New Roman" w:hAnsi="Times New Roman" w:eastAsia="Times New Roman" w:cs="Times New Roman"/>
          <w:b/>
          <w:bCs/>
          <w:color w:val="FFFFFF"/>
          <w:sz w:val="24"/>
          <w:szCs w:val="24"/>
          <w:lang w:eastAsia="ru-RU"/>
        </w:rPr>
        <w:t>ПОЛУЧИТЕ </w:t>
      </w:r>
      <w:r>
        <w:rPr>
          <w:rFonts w:ascii="Times New Roman" w:hAnsi="Times New Roman" w:eastAsia="Times New Roman" w:cs="Times New Roman"/>
          <w:b/>
          <w:bCs/>
          <w:color w:val="FFCB03"/>
          <w:sz w:val="24"/>
          <w:szCs w:val="24"/>
          <w:lang w:eastAsia="ru-RU"/>
        </w:rPr>
        <w:t>БЕСПЛАТНЫЙ</w:t>
      </w:r>
      <w:r>
        <w:rPr>
          <w:rFonts w:ascii="Times New Roman" w:hAnsi="Times New Roman" w:eastAsia="Times New Roman" w:cs="Times New Roman"/>
          <w:b/>
          <w:bCs/>
          <w:color w:val="FFFFFF"/>
          <w:sz w:val="24"/>
          <w:szCs w:val="24"/>
          <w:lang w:eastAsia="ru-RU"/>
        </w:rPr>
        <w:t> ДОСТУП К СИСТЕМЕ ГАРАНТ НА 3 ДНЯ!</w:t>
      </w:r>
    </w:p>
    <w:p>
      <w:pPr>
        <w:shd w:val="clear" w:color="auto" w:fill="005DAB"/>
        <w:spacing w:after="100" w:line="336" w:lineRule="atLeast"/>
        <w:rPr>
          <w:rFonts w:ascii="Times New Roman" w:hAnsi="Times New Roman" w:eastAsia="Times New Roman" w:cs="Times New Roman"/>
          <w:color w:val="FFFFFF"/>
          <w:sz w:val="24"/>
          <w:szCs w:val="24"/>
          <w:lang w:eastAsia="ru-RU"/>
        </w:rPr>
      </w:pPr>
      <w:r>
        <w:fldChar w:fldCharType="begin"/>
      </w:r>
      <w:r>
        <w:instrText xml:space="preserve"> HYPERLINK "http://aero.garant.ru/internet/?utm_source=garant&amp;utm_medium=pop-up&amp;utm_campaign=230-144&amp;utm_content=lead-from-dri" \l "form_title" \t "_blank" \o "Получить доступ" </w:instrText>
      </w:r>
      <w:r>
        <w:fldChar w:fldCharType="separate"/>
      </w:r>
      <w:r>
        <w:rPr>
          <w:rFonts w:ascii="Times New Roman" w:hAnsi="Times New Roman" w:eastAsia="Times New Roman" w:cs="Times New Roman"/>
          <w:b/>
          <w:bCs/>
          <w:color w:val="FFFFFF"/>
          <w:sz w:val="20"/>
          <w:u w:val="single"/>
          <w:lang w:eastAsia="ru-RU"/>
        </w:rPr>
        <w:t>ПОЛУЧИТЬ ДОСТУП СЕЙЧАС</w:t>
      </w:r>
      <w:r>
        <w:rPr>
          <w:rFonts w:ascii="Times New Roman" w:hAnsi="Times New Roman" w:eastAsia="Times New Roman" w:cs="Times New Roman"/>
          <w:b/>
          <w:bCs/>
          <w:color w:val="FFFFFF"/>
          <w:sz w:val="20"/>
          <w:u w:val="single"/>
          <w:lang w:eastAsia="ru-RU"/>
        </w:rPr>
        <w:fldChar w:fldCharType="end"/>
      </w:r>
    </w:p>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CC"/>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Arial">
    <w:panose1 w:val="020B0604020202020204"/>
    <w:charset w:val="CC"/>
    <w:family w:val="swiss"/>
    <w:pitch w:val="default"/>
    <w:sig w:usb0="E0002AFF" w:usb1="C0007843" w:usb2="00000009" w:usb3="00000000" w:csb0="400001FF" w:csb1="FFFF0000"/>
  </w:font>
  <w:font w:name="Tahoma">
    <w:panose1 w:val="020B0604030504040204"/>
    <w:charset w:val="CC"/>
    <w:family w:val="swiss"/>
    <w:pitch w:val="default"/>
    <w:sig w:usb0="E1002EFF" w:usb1="C000605B" w:usb2="00000029" w:usb3="00000000" w:csb0="200101FF" w:csb1="20280000"/>
  </w:font>
  <w:font w:name="Georgia">
    <w:panose1 w:val="02040502050405020303"/>
    <w:charset w:val="CC"/>
    <w:family w:val="roman"/>
    <w:pitch w:val="default"/>
    <w:sig w:usb0="000002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A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6B21E4"/>
    <w:multiLevelType w:val="multilevel"/>
    <w:tmpl w:val="686B21E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7ED"/>
    <w:rsid w:val="005177ED"/>
    <w:rsid w:val="00AD2134"/>
    <w:rsid w:val="4CB360D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2"/>
    <w:basedOn w:val="1"/>
    <w:next w:val="1"/>
    <w:link w:val="10"/>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ru-RU"/>
    </w:rPr>
  </w:style>
  <w:style w:type="paragraph" w:styleId="3">
    <w:name w:val="heading 3"/>
    <w:basedOn w:val="1"/>
    <w:next w:val="1"/>
    <w:link w:val="11"/>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semiHidden/>
    <w:unhideWhenUsed/>
    <w:uiPriority w:val="99"/>
    <w:rPr>
      <w:color w:val="0000FF"/>
      <w:u w:val="single"/>
    </w:rPr>
  </w:style>
  <w:style w:type="character" w:styleId="7">
    <w:name w:val="Strong"/>
    <w:basedOn w:val="4"/>
    <w:qFormat/>
    <w:uiPriority w:val="22"/>
    <w:rPr>
      <w:b/>
      <w:bCs/>
    </w:rPr>
  </w:style>
  <w:style w:type="paragraph" w:styleId="8">
    <w:name w:val="Balloon Text"/>
    <w:basedOn w:val="1"/>
    <w:link w:val="18"/>
    <w:semiHidden/>
    <w:unhideWhenUsed/>
    <w:uiPriority w:val="99"/>
    <w:pPr>
      <w:spacing w:after="0" w:line="240" w:lineRule="auto"/>
    </w:pPr>
    <w:rPr>
      <w:rFonts w:ascii="Tahoma" w:hAnsi="Tahoma" w:cs="Tahoma"/>
      <w:sz w:val="16"/>
      <w:szCs w:val="16"/>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
    <w:name w:val="Заголовок 2 Знак"/>
    <w:basedOn w:val="4"/>
    <w:link w:val="2"/>
    <w:qFormat/>
    <w:uiPriority w:val="9"/>
    <w:rPr>
      <w:rFonts w:ascii="Times New Roman" w:hAnsi="Times New Roman" w:eastAsia="Times New Roman" w:cs="Times New Roman"/>
      <w:b/>
      <w:bCs/>
      <w:sz w:val="36"/>
      <w:szCs w:val="36"/>
      <w:lang w:eastAsia="ru-RU"/>
    </w:rPr>
  </w:style>
  <w:style w:type="character" w:customStyle="1" w:styleId="11">
    <w:name w:val="Заголовок 3 Знак"/>
    <w:basedOn w:val="4"/>
    <w:link w:val="3"/>
    <w:qFormat/>
    <w:uiPriority w:val="9"/>
    <w:rPr>
      <w:rFonts w:ascii="Times New Roman" w:hAnsi="Times New Roman" w:eastAsia="Times New Roman" w:cs="Times New Roman"/>
      <w:b/>
      <w:bCs/>
      <w:sz w:val="27"/>
      <w:szCs w:val="27"/>
      <w:lang w:eastAsia="ru-RU"/>
    </w:rPr>
  </w:style>
  <w:style w:type="character" w:customStyle="1" w:styleId="12">
    <w:name w:val="info"/>
    <w:basedOn w:val="4"/>
    <w:qFormat/>
    <w:uiPriority w:val="0"/>
  </w:style>
  <w:style w:type="paragraph" w:customStyle="1" w:styleId="13">
    <w:name w:val="HTML Top of Form"/>
    <w:basedOn w:val="1"/>
    <w:next w:val="1"/>
    <w:link w:val="14"/>
    <w:semiHidden/>
    <w:unhideWhenUsed/>
    <w:uiPriority w:val="99"/>
    <w:pPr>
      <w:pBdr>
        <w:bottom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14">
    <w:name w:val="z-Начало формы Знак"/>
    <w:basedOn w:val="4"/>
    <w:link w:val="13"/>
    <w:semiHidden/>
    <w:qFormat/>
    <w:uiPriority w:val="99"/>
    <w:rPr>
      <w:rFonts w:ascii="Arial" w:hAnsi="Arial" w:eastAsia="Times New Roman" w:cs="Arial"/>
      <w:vanish/>
      <w:sz w:val="16"/>
      <w:szCs w:val="16"/>
      <w:lang w:eastAsia="ru-RU"/>
    </w:rPr>
  </w:style>
  <w:style w:type="paragraph" w:customStyle="1" w:styleId="15">
    <w:name w:val="HTML Bottom of Form"/>
    <w:basedOn w:val="1"/>
    <w:next w:val="1"/>
    <w:link w:val="16"/>
    <w:semiHidden/>
    <w:unhideWhenUsed/>
    <w:uiPriority w:val="99"/>
    <w:pPr>
      <w:pBdr>
        <w:top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16">
    <w:name w:val="z-Конец формы Знак"/>
    <w:basedOn w:val="4"/>
    <w:link w:val="15"/>
    <w:semiHidden/>
    <w:uiPriority w:val="99"/>
    <w:rPr>
      <w:rFonts w:ascii="Arial" w:hAnsi="Arial" w:eastAsia="Times New Roman" w:cs="Arial"/>
      <w:vanish/>
      <w:sz w:val="16"/>
      <w:szCs w:val="16"/>
      <w:lang w:eastAsia="ru-RU"/>
    </w:rPr>
  </w:style>
  <w:style w:type="character" w:customStyle="1" w:styleId="17">
    <w:name w:val="free"/>
    <w:basedOn w:val="4"/>
    <w:uiPriority w:val="0"/>
  </w:style>
  <w:style w:type="character" w:customStyle="1" w:styleId="18">
    <w:name w:val="Текст выноски Знак"/>
    <w:basedOn w:val="4"/>
    <w:link w:val="8"/>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hyperlink" Target="https://www.garant.ru/products/ipo/prime/doc/403236531/" TargetMode="Externa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hyperlink" Target="https://www.garant.ru/products/ipo/prime/doc/403236531/#friends" TargetMode="Externa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r:id="rId1" ax:persistence="persistStorag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5</Pages>
  <Words>1692</Words>
  <Characters>9648</Characters>
  <Lines>80</Lines>
  <Paragraphs>22</Paragraphs>
  <TotalTime>1</TotalTime>
  <ScaleCrop>false</ScaleCrop>
  <LinksUpToDate>false</LinksUpToDate>
  <CharactersWithSpaces>11318</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2022-02-04T04:39:00Z</dcterms:created>
  <dc:creator>Argen</dc:creator>
  <cp:lastModifiedBy>User</cp:lastModifiedBy>
  <dcterms:modified xsi:type="dcterms:W3CDTF">2022-02-04T12:08:43Z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1049-11.2.0.10463</vt:lpwstr>
  </property>
  <property fmtid="{D5CDD505-2E9C-101B-9397-08002B2CF9AE}" pid="3" name="ICV">
    <vt:lpwstr>1A4985CEA9FA4401BC59673CBDC2C531</vt:lpwstr>
  </property>
</Properties>
</file>